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F" w:rsidRDefault="00CA1DBF" w:rsidP="00EA28EC">
      <w:pPr>
        <w:jc w:val="center"/>
        <w:rPr>
          <w:rFonts w:ascii="Arial" w:hAnsi="Arial" w:cs="Arial"/>
          <w:b/>
          <w:u w:val="single"/>
        </w:rPr>
      </w:pPr>
    </w:p>
    <w:p w:rsidR="00533B78" w:rsidRDefault="00CA1DBF" w:rsidP="00533B78">
      <w:pPr>
        <w:jc w:val="center"/>
        <w:rPr>
          <w:rFonts w:ascii="Arial" w:hAnsi="Arial" w:cs="Arial"/>
          <w:b/>
          <w:u w:val="single"/>
        </w:rPr>
      </w:pPr>
      <w:r w:rsidRPr="00EA28EC">
        <w:rPr>
          <w:rFonts w:ascii="Arial" w:hAnsi="Arial" w:cs="Arial"/>
          <w:b/>
          <w:u w:val="single"/>
        </w:rPr>
        <w:t>Nota de Esclarecimento</w:t>
      </w:r>
      <w:r>
        <w:rPr>
          <w:rFonts w:ascii="Arial" w:hAnsi="Arial" w:cs="Arial"/>
          <w:b/>
          <w:u w:val="single"/>
        </w:rPr>
        <w:t xml:space="preserve"> </w:t>
      </w:r>
    </w:p>
    <w:p w:rsidR="00CA1DBF" w:rsidRDefault="00CA1DBF" w:rsidP="00C015D2">
      <w:pPr>
        <w:jc w:val="both"/>
        <w:rPr>
          <w:rFonts w:ascii="Arial" w:hAnsi="Arial" w:cs="Arial"/>
          <w:u w:val="single"/>
        </w:rPr>
      </w:pPr>
    </w:p>
    <w:p w:rsidR="00CA1DBF" w:rsidRPr="00C015D2" w:rsidRDefault="00CA1DBF" w:rsidP="00C015D2">
      <w:pPr>
        <w:jc w:val="both"/>
        <w:rPr>
          <w:rFonts w:ascii="Arial" w:hAnsi="Arial" w:cs="Arial"/>
          <w:u w:val="single"/>
        </w:rPr>
      </w:pPr>
    </w:p>
    <w:p w:rsidR="00CA1DBF" w:rsidRPr="00C015D2" w:rsidRDefault="00CA1DBF" w:rsidP="00C015D2">
      <w:pPr>
        <w:jc w:val="both"/>
        <w:rPr>
          <w:rFonts w:ascii="Arial" w:hAnsi="Arial" w:cs="Arial"/>
        </w:rPr>
      </w:pPr>
      <w:r w:rsidRPr="00C015D2">
        <w:rPr>
          <w:rFonts w:ascii="Arial" w:hAnsi="Arial" w:cs="Arial"/>
        </w:rPr>
        <w:t>Resposta ao</w:t>
      </w:r>
      <w:r w:rsidR="0056550B">
        <w:rPr>
          <w:rFonts w:ascii="Arial" w:hAnsi="Arial" w:cs="Arial"/>
        </w:rPr>
        <w:t>s</w:t>
      </w:r>
      <w:r w:rsidRPr="00C015D2">
        <w:rPr>
          <w:rFonts w:ascii="Arial" w:hAnsi="Arial" w:cs="Arial"/>
        </w:rPr>
        <w:t xml:space="preserve"> pedido</w:t>
      </w:r>
      <w:r w:rsidR="0056550B">
        <w:rPr>
          <w:rFonts w:ascii="Arial" w:hAnsi="Arial" w:cs="Arial"/>
        </w:rPr>
        <w:t>s</w:t>
      </w:r>
      <w:r w:rsidRPr="00C015D2">
        <w:rPr>
          <w:rFonts w:ascii="Arial" w:hAnsi="Arial" w:cs="Arial"/>
        </w:rPr>
        <w:t xml:space="preserve"> de esclarecimento</w:t>
      </w:r>
      <w:r w:rsidR="00D85AC0">
        <w:rPr>
          <w:rFonts w:ascii="Arial" w:hAnsi="Arial" w:cs="Arial"/>
        </w:rPr>
        <w:t>s</w:t>
      </w:r>
      <w:r w:rsidRPr="00C015D2">
        <w:rPr>
          <w:rFonts w:ascii="Arial" w:hAnsi="Arial" w:cs="Arial"/>
        </w:rPr>
        <w:t xml:space="preserve"> ao edital do Pregão n</w:t>
      </w:r>
      <w:r>
        <w:rPr>
          <w:rFonts w:ascii="Arial" w:hAnsi="Arial" w:cs="Arial"/>
        </w:rPr>
        <w:t>º</w:t>
      </w:r>
      <w:r w:rsidRPr="00C015D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</w:t>
      </w:r>
      <w:r w:rsidR="00533B78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E7453C">
        <w:rPr>
          <w:rFonts w:ascii="Arial" w:hAnsi="Arial" w:cs="Arial"/>
        </w:rPr>
        <w:t>6</w:t>
      </w:r>
      <w:r w:rsidRPr="00C015D2">
        <w:rPr>
          <w:rFonts w:ascii="Arial" w:hAnsi="Arial" w:cs="Arial"/>
        </w:rPr>
        <w:t>, solicitado</w:t>
      </w:r>
      <w:r w:rsidR="0056550B">
        <w:rPr>
          <w:rFonts w:ascii="Arial" w:hAnsi="Arial" w:cs="Arial"/>
        </w:rPr>
        <w:t>s</w:t>
      </w:r>
      <w:r w:rsidRPr="00C015D2">
        <w:rPr>
          <w:rFonts w:ascii="Arial" w:hAnsi="Arial" w:cs="Arial"/>
        </w:rPr>
        <w:t xml:space="preserve"> através de </w:t>
      </w:r>
      <w:r w:rsidR="007B589E">
        <w:rPr>
          <w:rFonts w:ascii="Arial" w:hAnsi="Arial" w:cs="Arial"/>
        </w:rPr>
        <w:t>e-mail</w:t>
      </w:r>
      <w:r w:rsidR="0056550B">
        <w:rPr>
          <w:rFonts w:ascii="Arial" w:hAnsi="Arial" w:cs="Arial"/>
        </w:rPr>
        <w:t>s</w:t>
      </w:r>
      <w:r w:rsidR="007B589E">
        <w:rPr>
          <w:rFonts w:ascii="Arial" w:hAnsi="Arial" w:cs="Arial"/>
        </w:rPr>
        <w:t xml:space="preserve"> encaminhado</w:t>
      </w:r>
      <w:r w:rsidR="0056550B">
        <w:rPr>
          <w:rFonts w:ascii="Arial" w:hAnsi="Arial" w:cs="Arial"/>
        </w:rPr>
        <w:t>s</w:t>
      </w:r>
      <w:r w:rsidR="00F649E3">
        <w:rPr>
          <w:rFonts w:ascii="Arial" w:hAnsi="Arial" w:cs="Arial"/>
        </w:rPr>
        <w:t xml:space="preserve"> ao IPREVILLE por </w:t>
      </w:r>
      <w:r w:rsidR="006F721F">
        <w:rPr>
          <w:rFonts w:ascii="Arial" w:hAnsi="Arial" w:cs="Arial"/>
        </w:rPr>
        <w:t>empresa do ramo</w:t>
      </w:r>
      <w:r w:rsidR="007F74F2">
        <w:rPr>
          <w:rFonts w:ascii="Arial" w:hAnsi="Arial" w:cs="Arial"/>
        </w:rPr>
        <w:t xml:space="preserve">, </w:t>
      </w:r>
      <w:r w:rsidRPr="00C015D2">
        <w:rPr>
          <w:rFonts w:ascii="Arial" w:hAnsi="Arial" w:cs="Arial"/>
        </w:rPr>
        <w:t xml:space="preserve">cujo objeto é </w:t>
      </w:r>
      <w:r>
        <w:rPr>
          <w:rFonts w:ascii="Arial" w:hAnsi="Arial" w:cs="Arial"/>
        </w:rPr>
        <w:t>a</w:t>
      </w:r>
      <w:r w:rsidRPr="00C015D2">
        <w:rPr>
          <w:rFonts w:ascii="Arial" w:hAnsi="Arial" w:cs="Arial"/>
        </w:rPr>
        <w:t xml:space="preserve"> </w:t>
      </w:r>
      <w:r w:rsidR="004C09E0">
        <w:rPr>
          <w:rFonts w:ascii="Arial" w:hAnsi="Arial" w:cs="Arial"/>
          <w:b/>
        </w:rPr>
        <w:t xml:space="preserve">Prestação de Serviço de </w:t>
      </w:r>
      <w:r w:rsidR="007B589E">
        <w:rPr>
          <w:rFonts w:ascii="Arial" w:hAnsi="Arial" w:cs="Arial"/>
          <w:b/>
        </w:rPr>
        <w:t>Organização de Evento</w:t>
      </w:r>
      <w:r w:rsidRPr="00AD5BB2">
        <w:rPr>
          <w:rFonts w:ascii="Arial" w:hAnsi="Arial" w:cs="Arial"/>
        </w:rPr>
        <w:t xml:space="preserve"> </w:t>
      </w:r>
      <w:r w:rsidRPr="00BE393B">
        <w:rPr>
          <w:rFonts w:ascii="Arial" w:hAnsi="Arial" w:cs="Arial"/>
        </w:rPr>
        <w:t>em conformidade com o</w:t>
      </w:r>
      <w:r>
        <w:rPr>
          <w:rFonts w:ascii="Arial" w:hAnsi="Arial" w:cs="Arial"/>
        </w:rPr>
        <w:t xml:space="preserve"> Anexo I – Termo de Referência e </w:t>
      </w:r>
      <w:r w:rsidRPr="00BE393B">
        <w:rPr>
          <w:rFonts w:ascii="Arial" w:hAnsi="Arial" w:cs="Arial"/>
        </w:rPr>
        <w:t>com o</w:t>
      </w:r>
      <w:r>
        <w:rPr>
          <w:rFonts w:ascii="Arial" w:hAnsi="Arial" w:cs="Arial"/>
        </w:rPr>
        <w:t xml:space="preserve"> Anexo VII – Minuta do Contrato do referido Edital</w:t>
      </w:r>
      <w:r w:rsidRPr="00C015D2">
        <w:rPr>
          <w:rFonts w:ascii="Arial" w:hAnsi="Arial" w:cs="Arial"/>
        </w:rPr>
        <w:t>.</w:t>
      </w:r>
    </w:p>
    <w:p w:rsidR="00CA1DBF" w:rsidRDefault="00CA1DBF" w:rsidP="00C015D2">
      <w:pPr>
        <w:jc w:val="both"/>
        <w:rPr>
          <w:rFonts w:ascii="Arial" w:hAnsi="Arial" w:cs="Arial"/>
        </w:rPr>
      </w:pPr>
      <w:r w:rsidRPr="00C015D2">
        <w:rPr>
          <w:rFonts w:ascii="Arial" w:hAnsi="Arial" w:cs="Arial"/>
        </w:rPr>
        <w:t xml:space="preserve"> </w:t>
      </w:r>
    </w:p>
    <w:p w:rsidR="00CA1DBF" w:rsidRDefault="004312C7" w:rsidP="00F6499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Questionamento</w:t>
      </w:r>
      <w:r w:rsidR="00CA1DBF" w:rsidRPr="00F64994">
        <w:rPr>
          <w:rFonts w:ascii="Arial" w:hAnsi="Arial" w:cs="Arial"/>
          <w:b/>
          <w:u w:val="single"/>
        </w:rPr>
        <w:t>:</w:t>
      </w:r>
      <w:r w:rsidR="00CA1DBF" w:rsidRPr="00F64994">
        <w:rPr>
          <w:rFonts w:ascii="Arial" w:hAnsi="Arial" w:cs="Arial"/>
          <w:u w:val="single"/>
        </w:rPr>
        <w:t xml:space="preserve"> </w:t>
      </w:r>
    </w:p>
    <w:p w:rsidR="00D85AC0" w:rsidRPr="00D85AC0" w:rsidRDefault="00D85AC0" w:rsidP="00D85AC0">
      <w:pPr>
        <w:jc w:val="both"/>
        <w:rPr>
          <w:rFonts w:ascii="Arial" w:hAnsi="Arial" w:cs="Arial"/>
          <w:color w:val="000000"/>
        </w:rPr>
      </w:pPr>
      <w:r w:rsidRPr="00D85AC0">
        <w:rPr>
          <w:rFonts w:ascii="Arial" w:hAnsi="Arial" w:cs="Arial"/>
          <w:color w:val="000000"/>
        </w:rPr>
        <w:t xml:space="preserve">Documentos de Habilitação </w:t>
      </w:r>
      <w:r w:rsidRPr="00D85AC0">
        <w:rPr>
          <w:rStyle w:val="nfase"/>
          <w:rFonts w:ascii="Arial" w:hAnsi="Arial" w:cs="Arial"/>
          <w:color w:val="000000"/>
        </w:rPr>
        <w:t>9.5.1.1.</w:t>
      </w:r>
      <w:r w:rsidRPr="00D85AC0">
        <w:rPr>
          <w:rFonts w:ascii="Arial" w:hAnsi="Arial" w:cs="Arial"/>
          <w:color w:val="000000"/>
        </w:rPr>
        <w:t xml:space="preserve"> Comprovação de registro da empresa na entidade competente (CRA – Conselho Regional de Administração) da região em que estiver vinculada, em conformidade com o art. 30 da Lei 8.666/93.</w:t>
      </w:r>
    </w:p>
    <w:p w:rsidR="00D85AC0" w:rsidRPr="00D85AC0" w:rsidRDefault="00D85AC0" w:rsidP="00D85AC0">
      <w:pPr>
        <w:pStyle w:val="PargrafodaLista"/>
        <w:ind w:left="0"/>
        <w:jc w:val="both"/>
        <w:rPr>
          <w:rFonts w:ascii="Arial" w:hAnsi="Arial" w:cs="Arial"/>
          <w:color w:val="000000"/>
        </w:rPr>
      </w:pPr>
      <w:hyperlink r:id="rId5" w:history="1">
        <w:r w:rsidRPr="00D85AC0">
          <w:rPr>
            <w:rStyle w:val="Forte"/>
            <w:rFonts w:ascii="Arial" w:hAnsi="Arial" w:cs="Arial"/>
            <w:bdr w:val="none" w:sz="0" w:space="0" w:color="auto" w:frame="1"/>
          </w:rPr>
          <w:t>Artigo 30 da Lei nº 8.666 de 21 de Junho de 1993</w:t>
        </w:r>
      </w:hyperlink>
      <w:r w:rsidRPr="00D85AC0">
        <w:rPr>
          <w:rFonts w:ascii="Arial" w:hAnsi="Arial" w:cs="Arial"/>
          <w:color w:val="000000"/>
        </w:rPr>
        <w:t xml:space="preserve"> </w:t>
      </w:r>
      <w:r w:rsidR="00D32FB2">
        <w:rPr>
          <w:rFonts w:ascii="Arial" w:hAnsi="Arial" w:cs="Arial"/>
          <w:color w:val="000000"/>
        </w:rPr>
        <w:t xml:space="preserve">- </w:t>
      </w:r>
    </w:p>
    <w:p w:rsidR="00D85AC0" w:rsidRPr="00D85AC0" w:rsidRDefault="00D85AC0" w:rsidP="00D85AC0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D85AC0">
        <w:rPr>
          <w:rFonts w:ascii="Arial" w:hAnsi="Arial" w:cs="Arial"/>
          <w:color w:val="000000"/>
        </w:rPr>
        <w:t>A documentação relativa à qualificação técnica limitar-se-á a:</w:t>
      </w:r>
    </w:p>
    <w:p w:rsidR="00D85AC0" w:rsidRPr="00D85AC0" w:rsidRDefault="00D85AC0" w:rsidP="00D85AC0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D85AC0">
        <w:rPr>
          <w:rFonts w:ascii="Arial" w:hAnsi="Arial" w:cs="Arial"/>
          <w:color w:val="000000"/>
        </w:rPr>
        <w:t xml:space="preserve">I - registro ou inscrição na entidade profissional competente; </w:t>
      </w:r>
    </w:p>
    <w:p w:rsidR="00D85AC0" w:rsidRPr="00D85AC0" w:rsidRDefault="00D85AC0" w:rsidP="00D85AC0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hd w:val="clear" w:color="auto" w:fill="FFFF00"/>
        </w:rPr>
      </w:pPr>
      <w:r w:rsidRPr="00D85AC0">
        <w:rPr>
          <w:rFonts w:ascii="Arial" w:hAnsi="Arial" w:cs="Arial"/>
          <w:color w:val="000000"/>
          <w:highlight w:val="lightGray"/>
        </w:rPr>
        <w:t xml:space="preserve">– </w:t>
      </w:r>
      <w:r w:rsidRPr="00D85AC0">
        <w:rPr>
          <w:rStyle w:val="Forte"/>
          <w:rFonts w:ascii="Arial" w:hAnsi="Arial" w:cs="Arial"/>
          <w:color w:val="000000"/>
          <w:highlight w:val="lightGray"/>
          <w:shd w:val="clear" w:color="auto" w:fill="FFFF00"/>
        </w:rPr>
        <w:t xml:space="preserve">A </w:t>
      </w:r>
      <w:r>
        <w:rPr>
          <w:rStyle w:val="Forte"/>
          <w:rFonts w:ascii="Arial" w:hAnsi="Arial" w:cs="Arial"/>
          <w:color w:val="000000"/>
          <w:highlight w:val="lightGray"/>
          <w:shd w:val="clear" w:color="auto" w:fill="FFFF00"/>
        </w:rPr>
        <w:t>entidade competente na área de eventos âmbito federal é</w:t>
      </w:r>
      <w:r w:rsidRPr="00D85AC0">
        <w:rPr>
          <w:rStyle w:val="Forte"/>
          <w:rFonts w:ascii="Arial" w:hAnsi="Arial" w:cs="Arial"/>
          <w:color w:val="000000"/>
          <w:highlight w:val="lightGray"/>
          <w:shd w:val="clear" w:color="auto" w:fill="FFFF00"/>
        </w:rPr>
        <w:t xml:space="preserve"> ABEOC</w:t>
      </w:r>
      <w:r w:rsidRPr="00D85AC0">
        <w:rPr>
          <w:rFonts w:ascii="Arial" w:hAnsi="Arial" w:cs="Arial"/>
          <w:color w:val="000000"/>
          <w:highlight w:val="lightGray"/>
          <w:shd w:val="clear" w:color="auto" w:fill="FFFF00"/>
        </w:rPr>
        <w:t xml:space="preserve"> -  </w:t>
      </w:r>
      <w:hyperlink r:id="rId6" w:tooltip="http://www.abeoc.org.br/" w:history="1">
        <w:r w:rsidRPr="00D85AC0">
          <w:rPr>
            <w:rStyle w:val="Hyperlink"/>
            <w:rFonts w:ascii="Arial" w:hAnsi="Arial" w:cs="Arial"/>
            <w:highlight w:val="lightGray"/>
            <w:shd w:val="clear" w:color="auto" w:fill="FFFF00"/>
          </w:rPr>
          <w:t>http://www.abeoc.org.br/</w:t>
        </w:r>
      </w:hyperlink>
      <w:r w:rsidRPr="00D85AC0">
        <w:rPr>
          <w:rFonts w:ascii="Arial" w:hAnsi="Arial" w:cs="Arial"/>
          <w:color w:val="000000"/>
          <w:highlight w:val="lightGray"/>
          <w:shd w:val="clear" w:color="auto" w:fill="FFFF00"/>
        </w:rPr>
        <w:t>  -</w:t>
      </w:r>
      <w:r>
        <w:rPr>
          <w:rFonts w:ascii="Arial" w:hAnsi="Arial" w:cs="Arial"/>
          <w:color w:val="000000"/>
          <w:highlight w:val="lightGray"/>
          <w:shd w:val="clear" w:color="auto" w:fill="FFFF00"/>
        </w:rPr>
        <w:t xml:space="preserve"> </w:t>
      </w:r>
      <w:r w:rsidRPr="00D85AC0">
        <w:rPr>
          <w:rFonts w:ascii="Arial" w:hAnsi="Arial" w:cs="Arial"/>
          <w:color w:val="000000"/>
          <w:highlight w:val="lightGray"/>
          <w:shd w:val="clear" w:color="auto" w:fill="FFFF00"/>
        </w:rPr>
        <w:t>F</w:t>
      </w:r>
      <w:r>
        <w:rPr>
          <w:rFonts w:ascii="Arial" w:hAnsi="Arial" w:cs="Arial"/>
          <w:color w:val="000000"/>
          <w:highlight w:val="lightGray"/>
          <w:shd w:val="clear" w:color="auto" w:fill="FFFF00"/>
        </w:rPr>
        <w:t xml:space="preserve">oi solicitado </w:t>
      </w:r>
      <w:r w:rsidRPr="00D85AC0">
        <w:rPr>
          <w:rFonts w:ascii="Arial" w:hAnsi="Arial" w:cs="Arial"/>
          <w:color w:val="000000"/>
          <w:highlight w:val="lightGray"/>
          <w:shd w:val="clear" w:color="auto" w:fill="FFFF00"/>
        </w:rPr>
        <w:t xml:space="preserve">CRA </w:t>
      </w:r>
      <w:r>
        <w:rPr>
          <w:rFonts w:ascii="Arial" w:hAnsi="Arial" w:cs="Arial"/>
          <w:color w:val="000000"/>
          <w:highlight w:val="lightGray"/>
          <w:shd w:val="clear" w:color="auto" w:fill="FFFF00"/>
        </w:rPr>
        <w:t xml:space="preserve">e por que não inscrição na </w:t>
      </w:r>
      <w:r w:rsidRPr="00D85AC0">
        <w:rPr>
          <w:rFonts w:ascii="Arial" w:hAnsi="Arial" w:cs="Arial"/>
          <w:color w:val="000000"/>
          <w:highlight w:val="lightGray"/>
          <w:shd w:val="clear" w:color="auto" w:fill="FFFF00"/>
        </w:rPr>
        <w:t>ABEOC?</w:t>
      </w:r>
    </w:p>
    <w:p w:rsidR="00D85AC0" w:rsidRPr="00D85AC0" w:rsidRDefault="00D85AC0" w:rsidP="00D85AC0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proofErr w:type="spellStart"/>
      <w:r w:rsidRPr="00D85AC0">
        <w:rPr>
          <w:rFonts w:ascii="Arial" w:hAnsi="Arial" w:cs="Arial"/>
          <w:color w:val="404040"/>
        </w:rPr>
        <w:t>O</w:t>
      </w:r>
      <w:r>
        <w:rPr>
          <w:rFonts w:ascii="Arial" w:hAnsi="Arial" w:cs="Arial"/>
          <w:color w:val="404040"/>
        </w:rPr>
        <w:t>bs</w:t>
      </w:r>
      <w:proofErr w:type="spellEnd"/>
      <w:r w:rsidRPr="00D85AC0">
        <w:rPr>
          <w:rFonts w:ascii="Arial" w:hAnsi="Arial" w:cs="Arial"/>
          <w:color w:val="404040"/>
        </w:rPr>
        <w:t xml:space="preserve">: </w:t>
      </w:r>
      <w:r w:rsidRPr="00D85AC0">
        <w:rPr>
          <w:rFonts w:ascii="Arial" w:hAnsi="Arial" w:cs="Arial"/>
          <w:color w:val="000000"/>
        </w:rPr>
        <w:t xml:space="preserve">Decreto Lei nº 3.452, </w:t>
      </w:r>
      <w:r>
        <w:rPr>
          <w:rFonts w:ascii="Arial" w:hAnsi="Arial" w:cs="Arial"/>
          <w:color w:val="000000"/>
        </w:rPr>
        <w:t>de 31/08/2005 – Santa Catarina</w:t>
      </w:r>
    </w:p>
    <w:p w:rsidR="00D85AC0" w:rsidRDefault="00D85AC0" w:rsidP="00D85AC0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40032" w:rsidRDefault="00340032" w:rsidP="00340032">
      <w:pPr>
        <w:jc w:val="both"/>
        <w:rPr>
          <w:rFonts w:ascii="Arial" w:hAnsi="Arial" w:cs="Arial"/>
          <w:b/>
          <w:u w:val="single"/>
        </w:rPr>
      </w:pPr>
      <w:r w:rsidRPr="00EA28EC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  <w:b/>
          <w:u w:val="single"/>
        </w:rPr>
        <w:t xml:space="preserve"> da Administração: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544FE7">
        <w:rPr>
          <w:rFonts w:ascii="Arial" w:hAnsi="Arial" w:cs="Arial"/>
          <w:color w:val="000000"/>
        </w:rPr>
        <w:t>1</w:t>
      </w:r>
      <w:proofErr w:type="gramEnd"/>
      <w:r w:rsidRPr="00544FE7">
        <w:rPr>
          <w:rFonts w:ascii="Arial" w:hAnsi="Arial" w:cs="Arial"/>
          <w:color w:val="000000"/>
        </w:rPr>
        <w:t xml:space="preserve">) De acordo com orientação do TCE/SC “para exigir prova de inscrição perante a entidade profissional, é preciso que a atividade que envolve o objeto da licitação seja </w:t>
      </w:r>
      <w:r w:rsidRPr="00544FE7">
        <w:rPr>
          <w:rFonts w:ascii="Arial" w:hAnsi="Arial" w:cs="Arial"/>
          <w:color w:val="000000"/>
          <w:u w:val="single"/>
        </w:rPr>
        <w:t>regulamentada por lei e sujeita a fiscalização</w:t>
      </w:r>
      <w:r w:rsidRPr="00544FE7">
        <w:rPr>
          <w:rFonts w:ascii="Arial" w:hAnsi="Arial" w:cs="Arial"/>
          <w:color w:val="000000"/>
        </w:rPr>
        <w:t>.”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 xml:space="preserve">O entendimento do TCE/SC fundamenta-se no fato de que o registro somente poderá ser exigido quando a </w:t>
      </w:r>
      <w:r w:rsidRPr="00544FE7">
        <w:rPr>
          <w:rFonts w:ascii="Arial" w:hAnsi="Arial" w:cs="Arial"/>
          <w:b/>
          <w:bCs/>
          <w:color w:val="000000"/>
          <w:u w:val="single"/>
        </w:rPr>
        <w:t xml:space="preserve">atividade preponderante </w:t>
      </w:r>
      <w:r w:rsidRPr="00544FE7">
        <w:rPr>
          <w:rFonts w:ascii="Arial" w:hAnsi="Arial" w:cs="Arial"/>
          <w:color w:val="000000"/>
        </w:rPr>
        <w:t>exercida pela empresa ou pelo profissional estiver sujeita à fiscalização atribuída por lei à determinada entidade profissional.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De fato a atividade de Administrador consta na listagem das profissões regulamentadas consultadas no site do Ministério do Trabalho e Emprego.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 xml:space="preserve">Assim, informamos que a solicitação do registro de empresa no CRA (conforme Edital </w:t>
      </w:r>
      <w:r w:rsidRPr="00D32FB2">
        <w:rPr>
          <w:rFonts w:ascii="Arial" w:hAnsi="Arial" w:cs="Arial"/>
          <w:i/>
          <w:color w:val="000000"/>
        </w:rPr>
        <w:t>item 9.5.1.1</w:t>
      </w:r>
      <w:r w:rsidRPr="00544FE7">
        <w:rPr>
          <w:rFonts w:ascii="Arial" w:hAnsi="Arial" w:cs="Arial"/>
          <w:color w:val="000000"/>
        </w:rPr>
        <w:t>) atende as orientações do Conselho Regional de Administração de Santa Catarina (</w:t>
      </w:r>
      <w:hyperlink r:id="rId7" w:history="1">
        <w:r w:rsidRPr="00544FE7">
          <w:rPr>
            <w:rStyle w:val="Hyperlink"/>
            <w:rFonts w:ascii="Arial" w:hAnsi="Arial" w:cs="Arial"/>
          </w:rPr>
          <w:t>http://www.crasc.org.br/crasc/portal/interna.php?secao_id=52</w:t>
        </w:r>
      </w:hyperlink>
      <w:r w:rsidRPr="00544FE7">
        <w:rPr>
          <w:rFonts w:ascii="Arial" w:hAnsi="Arial" w:cs="Arial"/>
          <w:color w:val="000000"/>
        </w:rPr>
        <w:t xml:space="preserve">) </w:t>
      </w:r>
    </w:p>
    <w:p w:rsidR="00D32FB2" w:rsidRDefault="00D85AC0" w:rsidP="00544FE7">
      <w:pPr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“De acordo com o Acórdão CFA Nº 04, DE 17-09-2012, as empresas que atuam na área de organização e realização de eventos para terceiros</w:t>
      </w:r>
      <w:r w:rsidR="00D32FB2">
        <w:rPr>
          <w:rFonts w:ascii="Arial" w:hAnsi="Arial" w:cs="Arial"/>
          <w:color w:val="000000"/>
        </w:rPr>
        <w:t xml:space="preserve"> </w:t>
      </w:r>
      <w:r w:rsidRPr="00544FE7">
        <w:rPr>
          <w:rFonts w:ascii="Arial" w:hAnsi="Arial" w:cs="Arial"/>
          <w:color w:val="000000"/>
        </w:rPr>
        <w:t>estão obrigadas ao registro cadastral em CRA, pois a atuação dessas empresas se dá mediante a exploração dos </w:t>
      </w:r>
      <w:r w:rsidRPr="00544FE7">
        <w:rPr>
          <w:rFonts w:ascii="Arial" w:hAnsi="Arial" w:cs="Arial"/>
          <w:b/>
          <w:bCs/>
          <w:color w:val="000000"/>
        </w:rPr>
        <w:t>campos de atuação privativos do Administrador</w:t>
      </w:r>
      <w:r w:rsidRPr="00544FE7">
        <w:rPr>
          <w:rFonts w:ascii="Arial" w:hAnsi="Arial" w:cs="Arial"/>
          <w:color w:val="000000"/>
        </w:rPr>
        <w:t xml:space="preserve">, principalmente no que se refere </w:t>
      </w:r>
      <w:proofErr w:type="gramStart"/>
      <w:r w:rsidRPr="00544FE7">
        <w:rPr>
          <w:rFonts w:ascii="Arial" w:hAnsi="Arial" w:cs="Arial"/>
          <w:color w:val="000000"/>
        </w:rPr>
        <w:t>a</w:t>
      </w:r>
      <w:proofErr w:type="gramEnd"/>
      <w:r w:rsidRPr="00544FE7">
        <w:rPr>
          <w:rFonts w:ascii="Arial" w:hAnsi="Arial" w:cs="Arial"/>
          <w:color w:val="000000"/>
        </w:rPr>
        <w:t xml:space="preserve"> administração financeira, administração mercadológica,</w:t>
      </w:r>
      <w:r w:rsidR="00D32FB2">
        <w:rPr>
          <w:rFonts w:ascii="Arial" w:hAnsi="Arial" w:cs="Arial"/>
          <w:color w:val="000000"/>
        </w:rPr>
        <w:t xml:space="preserve"> </w:t>
      </w:r>
      <w:r w:rsidRPr="00544FE7">
        <w:rPr>
          <w:rFonts w:ascii="Arial" w:hAnsi="Arial" w:cs="Arial"/>
          <w:color w:val="000000"/>
        </w:rPr>
        <w:t xml:space="preserve">administração de material/logística, organização e métodos, recrutamento, seleção e administração de pessoal.” </w:t>
      </w:r>
    </w:p>
    <w:p w:rsidR="00D32FB2" w:rsidRDefault="00D85AC0" w:rsidP="00544FE7">
      <w:pPr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“Ressaltamos que o</w:t>
      </w:r>
      <w:r w:rsidRPr="00544FE7">
        <w:rPr>
          <w:rFonts w:ascii="Arial" w:hAnsi="Arial" w:cs="Arial"/>
          <w:b/>
          <w:bCs/>
          <w:color w:val="000000"/>
        </w:rPr>
        <w:t xml:space="preserve"> CRA/SC é o órgão responsável pela fiscalização da profissão de Administrador e seus desdobramentos</w:t>
      </w:r>
      <w:r w:rsidR="00D32FB2">
        <w:rPr>
          <w:rFonts w:ascii="Arial" w:hAnsi="Arial" w:cs="Arial"/>
          <w:b/>
          <w:bCs/>
          <w:color w:val="000000"/>
        </w:rPr>
        <w:t>”</w:t>
      </w:r>
      <w:r w:rsidRPr="00544FE7">
        <w:rPr>
          <w:rFonts w:ascii="Arial" w:hAnsi="Arial" w:cs="Arial"/>
          <w:color w:val="000000"/>
        </w:rPr>
        <w:t xml:space="preserve">. </w:t>
      </w:r>
    </w:p>
    <w:p w:rsidR="00D85AC0" w:rsidRPr="00544FE7" w:rsidRDefault="00D85AC0" w:rsidP="00544FE7">
      <w:pPr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 xml:space="preserve">Dispõe a Lei nº 6.839/80, em seu art. 1º - “o registro de empresas e a anotação dos profissionais legalmente habilitados, delas encarregados, serão obrigatórios nas entidades competentes para a fiscalização do exercício das diversas profissões, em </w:t>
      </w:r>
      <w:r w:rsidRPr="00544FE7">
        <w:rPr>
          <w:rFonts w:ascii="Arial" w:hAnsi="Arial" w:cs="Arial"/>
          <w:color w:val="000000"/>
        </w:rPr>
        <w:lastRenderedPageBreak/>
        <w:t xml:space="preserve">razão da atividade básica ou em relação àquela pela qual prestem serviços a terceiros.” 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 </w:t>
      </w:r>
    </w:p>
    <w:p w:rsidR="00D85AC0" w:rsidRPr="00544FE7" w:rsidRDefault="00D85AC0" w:rsidP="00544FE7">
      <w:pPr>
        <w:pStyle w:val="enter-3pt"/>
        <w:spacing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544FE7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544FE7">
        <w:rPr>
          <w:rFonts w:ascii="Arial" w:hAnsi="Arial" w:cs="Arial"/>
          <w:color w:val="000000"/>
          <w:sz w:val="24"/>
          <w:szCs w:val="24"/>
        </w:rPr>
        <w:t xml:space="preserve">) Quanto a necessidade de registro na ABEOC – Associação Brasileira de Empresas de Eventos, ressalta-se que se trata de uma ASSOCIAÇÃO sendo que o </w:t>
      </w:r>
      <w:r w:rsidRPr="00544FE7">
        <w:rPr>
          <w:rFonts w:ascii="Arial" w:hAnsi="Arial" w:cs="Arial"/>
          <w:i/>
          <w:iCs/>
          <w:color w:val="000000"/>
          <w:sz w:val="24"/>
          <w:szCs w:val="24"/>
        </w:rPr>
        <w:t xml:space="preserve">art. 5º, inciso XX, da Constituição Federal, não permite, ainda que por meios indiretos, obrigar alguém, no caso o licitante, a associar-se ou a permanecer associado” </w:t>
      </w:r>
    </w:p>
    <w:p w:rsidR="00D85AC0" w:rsidRPr="00544FE7" w:rsidRDefault="00D85AC0" w:rsidP="00544FE7">
      <w:pPr>
        <w:pStyle w:val="enter-3p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4FE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Acórdão n.º 1354/2010-1ª Câmara, TC-022.430/2009-1, rel. Min. Valmir Campelo, 16.03.2010</w:t>
      </w:r>
      <w:r w:rsidRPr="00544FE7">
        <w:rPr>
          <w:rFonts w:ascii="Arial" w:hAnsi="Arial" w:cs="Arial"/>
          <w:color w:val="000000"/>
          <w:sz w:val="24"/>
          <w:szCs w:val="24"/>
        </w:rPr>
        <w:t>.</w:t>
      </w:r>
    </w:p>
    <w:p w:rsidR="00D85AC0" w:rsidRPr="00544FE7" w:rsidRDefault="00D85AC0" w:rsidP="00544FE7">
      <w:pPr>
        <w:pStyle w:val="enter-3p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4FE7">
        <w:rPr>
          <w:rFonts w:ascii="Arial" w:hAnsi="Arial" w:cs="Arial"/>
          <w:color w:val="000000"/>
          <w:sz w:val="24"/>
          <w:szCs w:val="24"/>
        </w:rPr>
        <w:t> 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544FE7">
        <w:rPr>
          <w:rFonts w:ascii="Arial" w:hAnsi="Arial" w:cs="Arial"/>
          <w:color w:val="000000"/>
        </w:rPr>
        <w:t>3</w:t>
      </w:r>
      <w:proofErr w:type="gramEnd"/>
      <w:r w:rsidRPr="00544FE7">
        <w:rPr>
          <w:rFonts w:ascii="Arial" w:hAnsi="Arial" w:cs="Arial"/>
          <w:color w:val="000000"/>
        </w:rPr>
        <w:t xml:space="preserve">) Com relação ao Decreto nº 3.452 de 31 de agosto de 2005, este deverá ser aplicado aos órgãos e entidades da administração pública direta, autárquica e funcional </w:t>
      </w:r>
      <w:r w:rsidRPr="00544FE7">
        <w:rPr>
          <w:rFonts w:ascii="Arial" w:hAnsi="Arial" w:cs="Arial"/>
          <w:b/>
          <w:bCs/>
          <w:color w:val="000000"/>
        </w:rPr>
        <w:t xml:space="preserve">do Poder Executivo do Estado de Santa Catarina, </w:t>
      </w:r>
      <w:r w:rsidRPr="00544FE7">
        <w:rPr>
          <w:rFonts w:ascii="Arial" w:hAnsi="Arial" w:cs="Arial"/>
          <w:color w:val="000000"/>
        </w:rPr>
        <w:t>como destacado no próprio texto da normativa.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 xml:space="preserve">Ainda, a própria ABEOC orienta que “todo edital de licitação que preveja contratação de serviços de organização de eventos, deve exigir como documento para Habilitação das Pessoas Jurídicas a apresentação do </w:t>
      </w:r>
      <w:r w:rsidRPr="00544FE7">
        <w:rPr>
          <w:rFonts w:ascii="Arial" w:hAnsi="Arial" w:cs="Arial"/>
          <w:b/>
          <w:bCs/>
          <w:color w:val="000000"/>
        </w:rPr>
        <w:t>certificado de cadastro junto ao Ministério do Turismo – CADASTUR</w:t>
      </w:r>
      <w:r w:rsidRPr="00544FE7">
        <w:rPr>
          <w:rFonts w:ascii="Arial" w:hAnsi="Arial" w:cs="Arial"/>
          <w:color w:val="000000"/>
        </w:rPr>
        <w:t xml:space="preserve"> como organizadora de eventos.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 xml:space="preserve">A ABEOC, buscando contribuir com o cumprimento da legislação vigente, </w:t>
      </w:r>
      <w:proofErr w:type="gramStart"/>
      <w:r w:rsidRPr="00544FE7">
        <w:rPr>
          <w:rFonts w:ascii="Arial" w:hAnsi="Arial" w:cs="Arial"/>
          <w:color w:val="000000"/>
        </w:rPr>
        <w:t>solicita</w:t>
      </w:r>
      <w:proofErr w:type="gramEnd"/>
      <w:r w:rsidRPr="00544FE7">
        <w:rPr>
          <w:rFonts w:ascii="Arial" w:hAnsi="Arial" w:cs="Arial"/>
          <w:color w:val="000000"/>
        </w:rPr>
        <w:t xml:space="preserve"> o empenho de todos, para que comuniquem a realização de todo e qualquer edital de licitação em que em seu objeto esteja prevista a contratação de serviço de organização de eventos, </w:t>
      </w:r>
      <w:r w:rsidRPr="00544FE7">
        <w:rPr>
          <w:rFonts w:ascii="Arial" w:hAnsi="Arial" w:cs="Arial"/>
          <w:b/>
          <w:bCs/>
          <w:color w:val="000000"/>
        </w:rPr>
        <w:t>sem que o CADASTUR</w:t>
      </w:r>
      <w:r w:rsidRPr="00544FE7">
        <w:rPr>
          <w:rFonts w:ascii="Arial" w:hAnsi="Arial" w:cs="Arial"/>
          <w:color w:val="000000"/>
        </w:rPr>
        <w:t xml:space="preserve"> </w:t>
      </w:r>
      <w:r w:rsidRPr="00544FE7">
        <w:rPr>
          <w:rFonts w:ascii="Arial" w:hAnsi="Arial" w:cs="Arial"/>
          <w:b/>
          <w:bCs/>
          <w:color w:val="000000"/>
        </w:rPr>
        <w:t>esteja exigido como</w:t>
      </w:r>
      <w:r w:rsidR="00D32FB2">
        <w:rPr>
          <w:rFonts w:ascii="Arial" w:hAnsi="Arial" w:cs="Arial"/>
          <w:b/>
          <w:bCs/>
          <w:color w:val="000000"/>
        </w:rPr>
        <w:t xml:space="preserve"> </w:t>
      </w:r>
      <w:r w:rsidRPr="00544FE7">
        <w:rPr>
          <w:rFonts w:ascii="Arial" w:hAnsi="Arial" w:cs="Arial"/>
          <w:b/>
          <w:bCs/>
          <w:color w:val="000000"/>
        </w:rPr>
        <w:t>documento de Habilitação da empresa</w:t>
      </w:r>
      <w:r w:rsidRPr="00544FE7">
        <w:rPr>
          <w:rFonts w:ascii="Arial" w:hAnsi="Arial" w:cs="Arial"/>
          <w:color w:val="000000"/>
        </w:rPr>
        <w:t>.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 </w:t>
      </w:r>
    </w:p>
    <w:p w:rsidR="00D85AC0" w:rsidRPr="00544FE7" w:rsidRDefault="00D85AC0" w:rsidP="00544FE7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544FE7">
        <w:rPr>
          <w:rFonts w:ascii="Arial" w:hAnsi="Arial" w:cs="Arial"/>
          <w:color w:val="000000"/>
        </w:rPr>
        <w:t>Diante dos motivos acima apresentados, visando o atendimento da legislação pátria, bem como a ampliação da concorrência, optamos por exigir o registro da empresa na entidade competente - CRA (</w:t>
      </w:r>
      <w:r w:rsidRPr="00D32FB2">
        <w:rPr>
          <w:rFonts w:ascii="Arial" w:hAnsi="Arial" w:cs="Arial"/>
          <w:i/>
          <w:color w:val="000000"/>
        </w:rPr>
        <w:t>Item 9.5.1.1</w:t>
      </w:r>
      <w:r w:rsidRPr="00544FE7">
        <w:rPr>
          <w:rFonts w:ascii="Arial" w:hAnsi="Arial" w:cs="Arial"/>
          <w:color w:val="000000"/>
        </w:rPr>
        <w:t>) e o registro no Ministério do Turismo (</w:t>
      </w:r>
      <w:r w:rsidRPr="00D32FB2">
        <w:rPr>
          <w:rFonts w:ascii="Arial" w:hAnsi="Arial" w:cs="Arial"/>
          <w:i/>
          <w:color w:val="000000"/>
        </w:rPr>
        <w:t>Item 9.5.1.2</w:t>
      </w:r>
      <w:r w:rsidRPr="00544FE7">
        <w:rPr>
          <w:rFonts w:ascii="Arial" w:hAnsi="Arial" w:cs="Arial"/>
          <w:color w:val="000000"/>
        </w:rPr>
        <w:t xml:space="preserve">). </w:t>
      </w:r>
    </w:p>
    <w:p w:rsidR="007B589E" w:rsidRDefault="007B589E" w:rsidP="00682A0A">
      <w:pPr>
        <w:jc w:val="both"/>
        <w:rPr>
          <w:rFonts w:ascii="Arial" w:hAnsi="Arial" w:cs="Arial"/>
          <w:i/>
        </w:rPr>
      </w:pPr>
    </w:p>
    <w:p w:rsidR="007B589E" w:rsidRDefault="007B589E" w:rsidP="00682A0A">
      <w:pPr>
        <w:jc w:val="both"/>
        <w:rPr>
          <w:rFonts w:ascii="Arial" w:hAnsi="Arial" w:cs="Arial"/>
          <w:i/>
        </w:rPr>
      </w:pPr>
    </w:p>
    <w:p w:rsidR="00CA1DBF" w:rsidRDefault="00CA1DBF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A1DBF" w:rsidRDefault="00CA1DBF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</w:rPr>
      </w:pPr>
    </w:p>
    <w:p w:rsidR="00CA1DBF" w:rsidRDefault="00D32FB2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Geovana de Carvalho da Silva</w:t>
      </w:r>
    </w:p>
    <w:p w:rsidR="00CA1DBF" w:rsidRPr="005E3484" w:rsidRDefault="00D32FB2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Pregoeira</w:t>
      </w:r>
      <w:proofErr w:type="spellEnd"/>
    </w:p>
    <w:p w:rsidR="00CA1DBF" w:rsidRPr="00C015D2" w:rsidRDefault="00CA1DBF" w:rsidP="00EA28EC">
      <w:pPr>
        <w:tabs>
          <w:tab w:val="left" w:pos="284"/>
        </w:tabs>
        <w:jc w:val="both"/>
        <w:rPr>
          <w:rFonts w:ascii="Arial" w:hAnsi="Arial" w:cs="Arial"/>
        </w:rPr>
      </w:pPr>
    </w:p>
    <w:sectPr w:rsidR="00CA1DBF" w:rsidRPr="00C015D2" w:rsidSect="00913835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A6A"/>
    <w:multiLevelType w:val="hybridMultilevel"/>
    <w:tmpl w:val="628C1F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B7463"/>
    <w:multiLevelType w:val="multilevel"/>
    <w:tmpl w:val="BD6C68B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E94A2C"/>
    <w:multiLevelType w:val="multilevel"/>
    <w:tmpl w:val="59DE0F7E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2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abstractNum w:abstractNumId="3">
    <w:nsid w:val="432A590B"/>
    <w:multiLevelType w:val="multilevel"/>
    <w:tmpl w:val="A97EB48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4">
    <w:nsid w:val="467B2F02"/>
    <w:multiLevelType w:val="multilevel"/>
    <w:tmpl w:val="405207FC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abstractNum w:abstractNumId="5">
    <w:nsid w:val="5CE214D6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8414220"/>
    <w:multiLevelType w:val="multilevel"/>
    <w:tmpl w:val="29700BB8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CC"/>
    <w:rsid w:val="00010D11"/>
    <w:rsid w:val="00015B03"/>
    <w:rsid w:val="00030B5C"/>
    <w:rsid w:val="00081A7A"/>
    <w:rsid w:val="00087227"/>
    <w:rsid w:val="000D70D1"/>
    <w:rsid w:val="000E0B81"/>
    <w:rsid w:val="000F6107"/>
    <w:rsid w:val="00140F41"/>
    <w:rsid w:val="00167100"/>
    <w:rsid w:val="001F360C"/>
    <w:rsid w:val="00206A88"/>
    <w:rsid w:val="002804FE"/>
    <w:rsid w:val="00282C89"/>
    <w:rsid w:val="00287417"/>
    <w:rsid w:val="002A0DDD"/>
    <w:rsid w:val="00323EF2"/>
    <w:rsid w:val="00340032"/>
    <w:rsid w:val="0034092B"/>
    <w:rsid w:val="0035145F"/>
    <w:rsid w:val="003569A5"/>
    <w:rsid w:val="003906B7"/>
    <w:rsid w:val="003A3367"/>
    <w:rsid w:val="003B20B8"/>
    <w:rsid w:val="003F0798"/>
    <w:rsid w:val="004204A5"/>
    <w:rsid w:val="004312C7"/>
    <w:rsid w:val="004325E4"/>
    <w:rsid w:val="004466D7"/>
    <w:rsid w:val="00450E40"/>
    <w:rsid w:val="00485D23"/>
    <w:rsid w:val="004912C0"/>
    <w:rsid w:val="0049514D"/>
    <w:rsid w:val="004C09E0"/>
    <w:rsid w:val="004C721B"/>
    <w:rsid w:val="005224FC"/>
    <w:rsid w:val="00533B78"/>
    <w:rsid w:val="00544FE7"/>
    <w:rsid w:val="005577CC"/>
    <w:rsid w:val="0056550B"/>
    <w:rsid w:val="005B368D"/>
    <w:rsid w:val="005E3484"/>
    <w:rsid w:val="00600E99"/>
    <w:rsid w:val="00606935"/>
    <w:rsid w:val="006352CD"/>
    <w:rsid w:val="00682A0A"/>
    <w:rsid w:val="00692C04"/>
    <w:rsid w:val="006C2053"/>
    <w:rsid w:val="006C7F8B"/>
    <w:rsid w:val="006D1BF9"/>
    <w:rsid w:val="006D7030"/>
    <w:rsid w:val="006F721F"/>
    <w:rsid w:val="00700223"/>
    <w:rsid w:val="007220A5"/>
    <w:rsid w:val="007247A1"/>
    <w:rsid w:val="00731D24"/>
    <w:rsid w:val="00743BB8"/>
    <w:rsid w:val="007658D6"/>
    <w:rsid w:val="007B589E"/>
    <w:rsid w:val="007F1BA0"/>
    <w:rsid w:val="007F74F2"/>
    <w:rsid w:val="008243A3"/>
    <w:rsid w:val="00837B45"/>
    <w:rsid w:val="008613B3"/>
    <w:rsid w:val="00866330"/>
    <w:rsid w:val="00866CFF"/>
    <w:rsid w:val="00875CD1"/>
    <w:rsid w:val="00895A4F"/>
    <w:rsid w:val="008D22E9"/>
    <w:rsid w:val="008F15C2"/>
    <w:rsid w:val="00911FDD"/>
    <w:rsid w:val="00913835"/>
    <w:rsid w:val="00923804"/>
    <w:rsid w:val="00950E3F"/>
    <w:rsid w:val="009A2F0D"/>
    <w:rsid w:val="009B0875"/>
    <w:rsid w:val="00A05020"/>
    <w:rsid w:val="00A248DC"/>
    <w:rsid w:val="00A3442F"/>
    <w:rsid w:val="00A3715A"/>
    <w:rsid w:val="00A45332"/>
    <w:rsid w:val="00A641D6"/>
    <w:rsid w:val="00A85BB1"/>
    <w:rsid w:val="00AA1098"/>
    <w:rsid w:val="00AC65D6"/>
    <w:rsid w:val="00AD5BB2"/>
    <w:rsid w:val="00B21238"/>
    <w:rsid w:val="00B47CF9"/>
    <w:rsid w:val="00B53752"/>
    <w:rsid w:val="00B71F94"/>
    <w:rsid w:val="00B84C05"/>
    <w:rsid w:val="00B92711"/>
    <w:rsid w:val="00BC7BB7"/>
    <w:rsid w:val="00BD55E6"/>
    <w:rsid w:val="00BD670B"/>
    <w:rsid w:val="00BE393B"/>
    <w:rsid w:val="00C015D2"/>
    <w:rsid w:val="00C112F5"/>
    <w:rsid w:val="00C25975"/>
    <w:rsid w:val="00C55FA3"/>
    <w:rsid w:val="00C6347A"/>
    <w:rsid w:val="00C702C6"/>
    <w:rsid w:val="00CA1DBF"/>
    <w:rsid w:val="00CB712C"/>
    <w:rsid w:val="00CE304E"/>
    <w:rsid w:val="00D032B2"/>
    <w:rsid w:val="00D32FB2"/>
    <w:rsid w:val="00D35181"/>
    <w:rsid w:val="00D634C3"/>
    <w:rsid w:val="00D80637"/>
    <w:rsid w:val="00D85AC0"/>
    <w:rsid w:val="00D87C13"/>
    <w:rsid w:val="00DF4A7C"/>
    <w:rsid w:val="00E0762A"/>
    <w:rsid w:val="00E13D80"/>
    <w:rsid w:val="00E26B75"/>
    <w:rsid w:val="00E33FEB"/>
    <w:rsid w:val="00E34830"/>
    <w:rsid w:val="00E6046D"/>
    <w:rsid w:val="00E64E3B"/>
    <w:rsid w:val="00E67832"/>
    <w:rsid w:val="00E7453C"/>
    <w:rsid w:val="00E84435"/>
    <w:rsid w:val="00E95191"/>
    <w:rsid w:val="00EA28EC"/>
    <w:rsid w:val="00EF66F3"/>
    <w:rsid w:val="00F14F0C"/>
    <w:rsid w:val="00F222D5"/>
    <w:rsid w:val="00F26EA8"/>
    <w:rsid w:val="00F3127F"/>
    <w:rsid w:val="00F417B8"/>
    <w:rsid w:val="00F6280B"/>
    <w:rsid w:val="00F64994"/>
    <w:rsid w:val="00F649E3"/>
    <w:rsid w:val="00F70D6C"/>
    <w:rsid w:val="00F725AC"/>
    <w:rsid w:val="00F81BF4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85D2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85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8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85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85D23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85D23"/>
    <w:pPr>
      <w:keepNext/>
      <w:tabs>
        <w:tab w:val="left" w:pos="284"/>
      </w:tabs>
      <w:spacing w:line="360" w:lineRule="auto"/>
      <w:jc w:val="both"/>
      <w:outlineLvl w:val="8"/>
    </w:pPr>
    <w:rPr>
      <w:caps/>
      <w:sz w:val="2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85D23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485D23"/>
    <w:rPr>
      <w:rFonts w:ascii="Arial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485D23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485D23"/>
    <w:rPr>
      <w:rFonts w:cs="Times New Roman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9"/>
    <w:locked/>
    <w:rsid w:val="00485D23"/>
    <w:rPr>
      <w:rFonts w:cs="Times New Roman"/>
      <w:caps/>
      <w:sz w:val="26"/>
      <w:lang w:eastAsia="en-US"/>
    </w:rPr>
  </w:style>
  <w:style w:type="character" w:styleId="nfase">
    <w:name w:val="Emphasis"/>
    <w:basedOn w:val="Fontepargpadro"/>
    <w:uiPriority w:val="20"/>
    <w:qFormat/>
    <w:rsid w:val="00485D23"/>
    <w:rPr>
      <w:rFonts w:cs="Times New Roman"/>
      <w:i/>
      <w:iCs/>
    </w:rPr>
  </w:style>
  <w:style w:type="paragraph" w:styleId="CabealhodoSumrio">
    <w:name w:val="TOC Heading"/>
    <w:basedOn w:val="Ttulo1"/>
    <w:next w:val="Normal"/>
    <w:uiPriority w:val="99"/>
    <w:qFormat/>
    <w:rsid w:val="00485D2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B47CF9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C015D2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D03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5A4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D5BB2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D85AC0"/>
    <w:rPr>
      <w:color w:val="0000FF"/>
      <w:u w:val="single"/>
    </w:rPr>
  </w:style>
  <w:style w:type="paragraph" w:customStyle="1" w:styleId="enter-3pt">
    <w:name w:val="enter-3pt"/>
    <w:basedOn w:val="Normal"/>
    <w:rsid w:val="00D85AC0"/>
    <w:pPr>
      <w:autoSpaceDE w:val="0"/>
      <w:autoSpaceDN w:val="0"/>
      <w:spacing w:line="60" w:lineRule="atLeast"/>
      <w:jc w:val="both"/>
    </w:pPr>
    <w:rPr>
      <w:rFonts w:eastAsiaTheme="minorHAnsi"/>
      <w:sz w:val="8"/>
      <w:szCs w:val="8"/>
    </w:rPr>
  </w:style>
  <w:style w:type="character" w:styleId="Forte">
    <w:name w:val="Strong"/>
    <w:basedOn w:val="Fontepargpadro"/>
    <w:uiPriority w:val="22"/>
    <w:qFormat/>
    <w:locked/>
    <w:rsid w:val="00D85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sc.org.br/crasc/portal/interna.php?secao_id=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oc.org.br/" TargetMode="External"/><Relationship Id="rId5" Type="http://schemas.openxmlformats.org/officeDocument/2006/relationships/hyperlink" Target="http://www.jusbrasil.com.br/topicos/11309500/artigo-30-da-lei-n-8666-de-21-de-junho-de-19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Esclarecimento</vt:lpstr>
    </vt:vector>
  </TitlesOfParts>
  <Company>Hewlett-Packard Company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Esclarecimento</dc:title>
  <dc:creator>usuario</dc:creator>
  <cp:lastModifiedBy>geovana</cp:lastModifiedBy>
  <cp:revision>6</cp:revision>
  <cp:lastPrinted>2016-02-26T12:45:00Z</cp:lastPrinted>
  <dcterms:created xsi:type="dcterms:W3CDTF">2016-02-29T14:31:00Z</dcterms:created>
  <dcterms:modified xsi:type="dcterms:W3CDTF">2016-02-29T15:14:00Z</dcterms:modified>
</cp:coreProperties>
</file>